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right="-569"/>
        <w:jc w:val="lef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1"/>
        <w:ind w:left="0" w:right="-28" w:firstLine="0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1"/>
        <w:ind w:left="0" w:right="-28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/>
    </w:p>
    <w:p>
      <w:pPr>
        <w:pStyle w:val="841"/>
        <w:ind w:left="0" w:right="-28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Программе профилактики рисков</w:t>
        <w:br/>
      </w:r>
      <w:r>
        <w:rPr>
          <w:sz w:val="28"/>
          <w:szCs w:val="28"/>
        </w:rPr>
        <w:t xml:space="preserve"> причинен</w:t>
      </w:r>
      <w:r>
        <w:rPr>
          <w:sz w:val="28"/>
          <w:szCs w:val="28"/>
        </w:rPr>
        <w:t xml:space="preserve">ия вреда (ущерба)  охраняемым законом</w:t>
        <w:br/>
        <w:t xml:space="preserve"> ценностям при осуществлении департаментом</w:t>
        <w:br/>
        <w:t xml:space="preserve"> по труду и социальной защите населения </w:t>
        <w:br/>
        <w:t xml:space="preserve">Костромской области регионального государственного</w:t>
        <w:br/>
        <w:t xml:space="preserve"> контроля (надзора) в сфере социального </w:t>
        <w:br/>
        <w:t xml:space="preserve">обслуживания в Костромской области, на 2024 год</w:t>
      </w:r>
      <w:r/>
    </w:p>
    <w:p>
      <w:pPr>
        <w:pStyle w:val="841"/>
        <w:ind w:right="-569"/>
        <w:jc w:val="both"/>
      </w:pPr>
      <w:r/>
      <w:bookmarkStart w:id="0" w:name="P96"/>
      <w:r/>
      <w:bookmarkEnd w:id="0"/>
      <w:r>
        <w:t xml:space="preserve"> </w:t>
      </w:r>
      <w:r/>
    </w:p>
    <w:p>
      <w:pPr>
        <w:jc w:val="center"/>
        <w:spacing w:after="0" w:line="240" w:lineRule="auto"/>
        <w:rPr>
          <w:rFonts w:cs="Times New Roman"/>
        </w:rPr>
      </w:pPr>
      <w:r>
        <w:rPr>
          <w:rFonts w:cs="Times New Roman"/>
          <w:szCs w:val="24"/>
          <w:highlight w:val="none"/>
        </w:rPr>
        <w:t xml:space="preserve">ПЕРЕЧЕНЬ</w:t>
      </w:r>
      <w:r>
        <w:rPr>
          <w:rFonts w:cs="Times New Roman"/>
          <w:szCs w:val="24"/>
          <w:highlight w:val="none"/>
        </w:rPr>
      </w:r>
    </w:p>
    <w:p>
      <w:pPr>
        <w:jc w:val="center"/>
        <w:spacing w:after="0" w:line="240" w:lineRule="auto"/>
        <w:rPr>
          <w:rFonts w:cs="Times New Roman"/>
          <w:highlight w:val="none"/>
        </w:rPr>
      </w:pPr>
      <w:r/>
      <w:bookmarkStart w:id="1" w:name="P102"/>
      <w:r/>
      <w:bookmarkEnd w:id="1"/>
      <w:r>
        <w:rPr>
          <w:rFonts w:cs="Times New Roman"/>
          <w:szCs w:val="24"/>
        </w:rPr>
      </w:r>
      <w:r>
        <w:rPr>
          <w:rFonts w:cs="Times New Roman"/>
          <w:szCs w:val="24"/>
        </w:rPr>
        <w:t xml:space="preserve"> профилактических мероприятий, сроки (периодичность) их проведения</w:t>
      </w:r>
      <w:r/>
    </w:p>
    <w:p>
      <w:pPr>
        <w:pStyle w:val="842"/>
        <w:ind w:left="567" w:right="-569" w:firstLine="708"/>
        <w:jc w:val="center"/>
        <w:rPr>
          <w:b w:val="0"/>
          <w:sz w:val="28"/>
          <w:szCs w:val="28"/>
        </w:rPr>
        <w:outlineLvl w:val="1"/>
      </w:pPr>
      <w:r>
        <w:rPr>
          <w:b w:val="0"/>
          <w:sz w:val="28"/>
          <w:szCs w:val="28"/>
        </w:rPr>
      </w:r>
      <w:r/>
    </w:p>
    <w:tbl>
      <w:tblPr>
        <w:tblW w:w="14885" w:type="dxa"/>
        <w:tblInd w:w="-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32"/>
        <w:gridCol w:w="6073"/>
        <w:gridCol w:w="3117"/>
        <w:gridCol w:w="1"/>
        <w:gridCol w:w="4962"/>
      </w:tblGrid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№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</w:t>
            </w:r>
            <w:r>
              <w:rPr>
                <w:szCs w:val="24"/>
              </w:rPr>
              <w:t xml:space="preserve">/п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Наименование мероприятия</w:t>
            </w:r>
            <w:r/>
          </w:p>
        </w:tc>
        <w:tc>
          <w:tcPr>
            <w:tcW w:w="3117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Срок исполнения</w:t>
            </w:r>
            <w:r/>
          </w:p>
        </w:tc>
        <w:tc>
          <w:tcPr>
            <w:gridSpan w:val="2"/>
            <w:tcW w:w="4963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Ответственные исполнители</w:t>
            </w:r>
            <w:r/>
          </w:p>
        </w:tc>
      </w:tr>
      <w:tr>
        <w:trPr/>
        <w:tc>
          <w:tcPr>
            <w:gridSpan w:val="5"/>
            <w:tcW w:w="14885" w:type="dxa"/>
            <w:textDirection w:val="lrTb"/>
            <w:noWrap w:val="false"/>
          </w:tcPr>
          <w:p>
            <w:pPr>
              <w:pStyle w:val="837"/>
              <w:ind w:left="0"/>
              <w:jc w:val="center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I</w:t>
            </w:r>
            <w:r>
              <w:rPr>
                <w:sz w:val="24"/>
              </w:rPr>
              <w:t xml:space="preserve">. Информирование</w:t>
            </w:r>
            <w:r/>
          </w:p>
        </w:tc>
      </w:tr>
      <w:tr>
        <w:trPr>
          <w:trHeight w:val="754"/>
        </w:trPr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Размещение и </w:t>
            </w:r>
            <w:r>
              <w:rPr>
                <w:szCs w:val="24"/>
              </w:rPr>
              <w:t xml:space="preserve">актуализация</w:t>
            </w:r>
            <w:r>
              <w:rPr>
                <w:szCs w:val="24"/>
              </w:rPr>
              <w:t xml:space="preserve"> на официальном сайте Департамента в информационно-телекоммуникационной сети «Интернет»: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 текст</w:t>
            </w:r>
            <w:r>
              <w:rPr>
                <w:szCs w:val="24"/>
              </w:rPr>
              <w:t xml:space="preserve">ов</w:t>
            </w:r>
            <w:r>
              <w:rPr>
                <w:szCs w:val="24"/>
              </w:rPr>
              <w:t xml:space="preserve"> нормативных правовых актов, регулирующих осуществление </w:t>
            </w:r>
            <w:r>
              <w:rPr>
                <w:szCs w:val="24"/>
              </w:rPr>
              <w:t xml:space="preserve">регионального </w:t>
            </w:r>
            <w:r>
              <w:rPr>
                <w:szCs w:val="24"/>
              </w:rPr>
              <w:t xml:space="preserve">государственного контроля (надзора</w:t>
            </w:r>
            <w:r>
              <w:rPr>
                <w:szCs w:val="24"/>
              </w:rPr>
              <w:t xml:space="preserve">)</w:t>
            </w:r>
            <w:r>
              <w:rPr>
                <w:szCs w:val="24"/>
              </w:rPr>
              <w:t xml:space="preserve">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2) сведени</w:t>
            </w:r>
            <w:r>
              <w:rPr>
                <w:rFonts w:cs="Times New Roman"/>
                <w:szCs w:val="24"/>
              </w:rPr>
              <w:t xml:space="preserve">й</w:t>
            </w:r>
            <w:r>
              <w:rPr>
                <w:rFonts w:cs="Times New Roman"/>
                <w:szCs w:val="24"/>
              </w:rPr>
              <w:t xml:space="preserve"> об изменениях, внесенных в нормативные правовые акты, регулирующие осуществление </w:t>
            </w:r>
            <w:r>
              <w:rPr>
                <w:szCs w:val="24"/>
              </w:rPr>
              <w:t xml:space="preserve">регионального </w:t>
            </w:r>
            <w:r>
              <w:rPr>
                <w:rFonts w:cs="Times New Roman"/>
                <w:szCs w:val="24"/>
              </w:rPr>
              <w:t xml:space="preserve">государственного контроля (надзора</w:t>
            </w:r>
            <w:r>
              <w:rPr>
                <w:szCs w:val="24"/>
              </w:rPr>
              <w:t xml:space="preserve">)</w:t>
            </w:r>
            <w:r>
              <w:rPr>
                <w:rFonts w:cs="Times New Roman"/>
                <w:szCs w:val="24"/>
              </w:rPr>
              <w:t xml:space="preserve">, о сроках и порядке их вступления в силу;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3) </w:t>
            </w:r>
            <w:hyperlink r:id="rId11" w:tooltip="consultantplus://offline/ref=130585CC7409E0445587BDEA668489B88EA8253E1B0EA0C49396DB424402A5FC2E4AF2E52069CF7772086357BEOBt4N" w:history="1">
              <w:r>
                <w:rPr>
                  <w:rFonts w:cs="Times New Roman"/>
                  <w:szCs w:val="24"/>
                </w:rPr>
                <w:t xml:space="preserve">переч</w:t>
              </w:r>
              <w:r>
                <w:rPr>
                  <w:rFonts w:cs="Times New Roman"/>
                  <w:szCs w:val="24"/>
                </w:rPr>
                <w:t xml:space="preserve">н</w:t>
              </w:r>
              <w:r>
                <w:rPr>
                  <w:rFonts w:cs="Times New Roman"/>
                  <w:szCs w:val="24"/>
                </w:rPr>
                <w:t xml:space="preserve">я</w:t>
              </w:r>
            </w:hyperlink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</w:t>
            </w:r>
            <w:r>
              <w:rPr>
                <w:szCs w:val="24"/>
              </w:rPr>
              <w:t xml:space="preserve">регионального </w:t>
            </w:r>
            <w:r>
              <w:rPr>
                <w:rFonts w:cs="Times New Roman"/>
                <w:szCs w:val="24"/>
              </w:rPr>
              <w:t xml:space="preserve">государственного контроля (надзора</w:t>
            </w:r>
            <w:r>
              <w:rPr>
                <w:szCs w:val="24"/>
              </w:rPr>
              <w:t xml:space="preserve">)</w:t>
            </w:r>
            <w:r>
              <w:rPr>
                <w:rFonts w:cs="Times New Roman"/>
                <w:szCs w:val="24"/>
              </w:rPr>
              <w:t xml:space="preserve">, а также информаци</w:t>
            </w:r>
            <w:r>
              <w:rPr>
                <w:rFonts w:cs="Times New Roman"/>
                <w:szCs w:val="24"/>
              </w:rPr>
              <w:t xml:space="preserve">и</w:t>
            </w:r>
            <w:r>
              <w:rPr>
                <w:rFonts w:cs="Times New Roman"/>
                <w:szCs w:val="24"/>
              </w:rPr>
              <w:t xml:space="preserve"> о </w:t>
            </w:r>
            <w:r>
              <w:rPr>
                <w:rFonts w:cs="Times New Roman"/>
                <w:szCs w:val="24"/>
              </w:rPr>
              <w:t xml:space="preserve">мерах</w:t>
            </w:r>
            <w:r>
              <w:rPr>
                <w:rFonts w:cs="Times New Roman"/>
                <w:szCs w:val="24"/>
              </w:rPr>
              <w:t xml:space="preserve"> ответственности, применяемых при нарушении обязательных требований, с текстами в действующей редакции;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4) утвержденны</w:t>
            </w:r>
            <w:r>
              <w:rPr>
                <w:rFonts w:cs="Times New Roman"/>
                <w:szCs w:val="24"/>
              </w:rPr>
              <w:t xml:space="preserve">х</w:t>
            </w:r>
            <w:r>
              <w:rPr>
                <w:rFonts w:cs="Times New Roman"/>
                <w:szCs w:val="24"/>
              </w:rPr>
              <w:t xml:space="preserve"> проверочны</w:t>
            </w:r>
            <w:r>
              <w:rPr>
                <w:rFonts w:cs="Times New Roman"/>
                <w:szCs w:val="24"/>
              </w:rPr>
              <w:t xml:space="preserve">х</w:t>
            </w:r>
            <w:r>
              <w:rPr>
                <w:rFonts w:cs="Times New Roman"/>
                <w:szCs w:val="24"/>
              </w:rPr>
              <w:t xml:space="preserve"> лист</w:t>
            </w:r>
            <w:r>
              <w:rPr>
                <w:rFonts w:cs="Times New Roman"/>
                <w:szCs w:val="24"/>
              </w:rPr>
              <w:t xml:space="preserve">ов</w:t>
            </w:r>
            <w:r>
              <w:rPr>
                <w:rFonts w:cs="Times New Roman"/>
                <w:szCs w:val="24"/>
              </w:rPr>
              <w:t xml:space="preserve"> в формате, допускающем их использование для </w:t>
            </w:r>
            <w:r>
              <w:rPr>
                <w:rFonts w:cs="Times New Roman"/>
                <w:szCs w:val="24"/>
              </w:rPr>
              <w:t xml:space="preserve">самообследования</w:t>
            </w:r>
            <w:r>
              <w:rPr>
                <w:rFonts w:cs="Times New Roman"/>
                <w:szCs w:val="24"/>
              </w:rPr>
              <w:t xml:space="preserve">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5) руководства по соблюдению обязательных требований, разработанные и утвержденные в соответствии с Федеральным </w:t>
            </w:r>
            <w:hyperlink r:id="rId12" w:tooltip="consultantplus://offline/ref=130585CC7409E0445587BDEA668489B88FA120361108A0C49396DB424402A5FC3C4AAAE9226AD0777A1D3506F8E0A9F853D4C1D44DEFA29FOAt4N" w:history="1">
              <w:r>
                <w:rPr>
                  <w:rFonts w:cs="Times New Roman"/>
                  <w:szCs w:val="24"/>
                </w:rPr>
                <w:t xml:space="preserve">законом</w:t>
              </w:r>
            </w:hyperlink>
            <w:r>
              <w:rPr>
                <w:rFonts w:cs="Times New Roman"/>
                <w:szCs w:val="24"/>
              </w:rPr>
              <w:t xml:space="preserve"> от 31.07.2020 № 247-ФЗ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«</w:t>
            </w:r>
            <w:r>
              <w:rPr>
                <w:rFonts w:cs="Times New Roman"/>
                <w:szCs w:val="24"/>
              </w:rPr>
              <w:t xml:space="preserve">Об обязательных тре</w:t>
            </w:r>
            <w:r>
              <w:rPr>
                <w:rFonts w:cs="Times New Roman"/>
                <w:szCs w:val="24"/>
              </w:rPr>
              <w:t xml:space="preserve">бованиях в Российской Федерации»</w:t>
            </w:r>
            <w:r>
              <w:rPr>
                <w:rFonts w:cs="Times New Roman"/>
                <w:szCs w:val="24"/>
              </w:rPr>
              <w:t xml:space="preserve">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6) перечн</w:t>
            </w:r>
            <w:r>
              <w:rPr>
                <w:rFonts w:cs="Times New Roman"/>
                <w:szCs w:val="24"/>
              </w:rPr>
              <w:t xml:space="preserve">я</w:t>
            </w:r>
            <w:r>
              <w:rPr>
                <w:rFonts w:cs="Times New Roman"/>
                <w:szCs w:val="24"/>
              </w:rPr>
              <w:t xml:space="preserve"> индикаторов риска нарушения обязательных требований, порядок отнесения объектов контроля к категориям риска;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7) переч</w:t>
            </w:r>
            <w:r>
              <w:rPr>
                <w:rFonts w:cs="Times New Roman"/>
                <w:szCs w:val="24"/>
              </w:rPr>
              <w:t xml:space="preserve">н</w:t>
            </w:r>
            <w:r>
              <w:rPr>
                <w:rFonts w:cs="Times New Roman"/>
                <w:szCs w:val="24"/>
              </w:rPr>
              <w:t xml:space="preserve">я</w:t>
            </w:r>
            <w:r>
              <w:rPr>
                <w:rFonts w:cs="Times New Roman"/>
                <w:szCs w:val="24"/>
              </w:rPr>
              <w:t xml:space="preserve">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8) программ</w:t>
            </w:r>
            <w:r>
              <w:rPr>
                <w:rFonts w:cs="Times New Roman"/>
                <w:szCs w:val="24"/>
              </w:rPr>
              <w:t xml:space="preserve">ы</w:t>
            </w:r>
            <w:r>
              <w:rPr>
                <w:rFonts w:cs="Times New Roman"/>
                <w:szCs w:val="24"/>
              </w:rPr>
              <w:t xml:space="preserve"> профилактики рисков причинения вреда и план</w:t>
            </w:r>
            <w:r>
              <w:rPr>
                <w:rFonts w:cs="Times New Roman"/>
                <w:szCs w:val="24"/>
              </w:rPr>
              <w:t xml:space="preserve">а</w:t>
            </w:r>
            <w:r>
              <w:rPr>
                <w:rFonts w:cs="Times New Roman"/>
                <w:szCs w:val="24"/>
              </w:rPr>
              <w:t xml:space="preserve"> проведения плановых контрольных (надзорных) мероприятий контрольным (надзорным) органом (при проведении таких мероприятий);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9) исчерпывающ</w:t>
            </w:r>
            <w:r>
              <w:rPr>
                <w:rFonts w:cs="Times New Roman"/>
                <w:szCs w:val="24"/>
              </w:rPr>
              <w:t xml:space="preserve">его </w:t>
            </w:r>
            <w:r>
              <w:rPr>
                <w:rFonts w:cs="Times New Roman"/>
                <w:szCs w:val="24"/>
              </w:rPr>
              <w:t xml:space="preserve">перечн</w:t>
            </w:r>
            <w:r>
              <w:rPr>
                <w:rFonts w:cs="Times New Roman"/>
                <w:szCs w:val="24"/>
              </w:rPr>
              <w:t xml:space="preserve">я</w:t>
            </w:r>
            <w:r>
              <w:rPr>
                <w:rFonts w:cs="Times New Roman"/>
                <w:szCs w:val="24"/>
              </w:rPr>
              <w:t xml:space="preserve"> сведений, которые могут запрашиваться контрольным (надзорным) органом у контролируемого лица;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10) сведени</w:t>
            </w:r>
            <w:r>
              <w:rPr>
                <w:rFonts w:cs="Times New Roman"/>
                <w:szCs w:val="24"/>
              </w:rPr>
              <w:t xml:space="preserve">й</w:t>
            </w:r>
            <w:r>
              <w:rPr>
                <w:rFonts w:cs="Times New Roman"/>
                <w:szCs w:val="24"/>
              </w:rPr>
              <w:t xml:space="preserve"> о способах получения консультаций по вопросам соблюдения обязательных требований;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11) сведени</w:t>
            </w:r>
            <w:r>
              <w:rPr>
                <w:rFonts w:cs="Times New Roman"/>
                <w:szCs w:val="24"/>
              </w:rPr>
              <w:t xml:space="preserve">й</w:t>
            </w:r>
            <w:r>
              <w:rPr>
                <w:rFonts w:cs="Times New Roman"/>
                <w:szCs w:val="24"/>
              </w:rPr>
              <w:t xml:space="preserve"> о порядке досудебного обжалования решений контрольного (надзорного) органа, действий (бездействия) его должностных лиц;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</w:t>
            </w:r>
            <w:r>
              <w:rPr>
                <w:rFonts w:cs="Times New Roman"/>
                <w:szCs w:val="24"/>
              </w:rPr>
              <w:t xml:space="preserve">2</w:t>
            </w:r>
            <w:r>
              <w:rPr>
                <w:rFonts w:cs="Times New Roman"/>
                <w:szCs w:val="24"/>
              </w:rPr>
              <w:t xml:space="preserve">) доклад</w:t>
            </w:r>
            <w:r>
              <w:rPr>
                <w:rFonts w:cs="Times New Roman"/>
                <w:szCs w:val="24"/>
              </w:rPr>
              <w:t xml:space="preserve">ов</w:t>
            </w:r>
            <w:r>
              <w:rPr>
                <w:rFonts w:cs="Times New Roman"/>
                <w:szCs w:val="24"/>
              </w:rPr>
              <w:t xml:space="preserve">, содержащи</w:t>
            </w:r>
            <w:r>
              <w:rPr>
                <w:rFonts w:cs="Times New Roman"/>
                <w:szCs w:val="24"/>
              </w:rPr>
              <w:t xml:space="preserve">х</w:t>
            </w:r>
            <w:r>
              <w:rPr>
                <w:rFonts w:cs="Times New Roman"/>
                <w:szCs w:val="24"/>
              </w:rPr>
              <w:t xml:space="preserve"> результаты обобщения правоприменительной практики контрольного (надзорного) органа;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13</w:t>
            </w:r>
            <w:r>
              <w:rPr>
                <w:rFonts w:cs="Times New Roman"/>
                <w:szCs w:val="24"/>
              </w:rPr>
              <w:t xml:space="preserve">) доклад</w:t>
            </w:r>
            <w:r>
              <w:rPr>
                <w:rFonts w:cs="Times New Roman"/>
                <w:szCs w:val="24"/>
              </w:rPr>
              <w:t xml:space="preserve">ов</w:t>
            </w:r>
            <w:r>
              <w:rPr>
                <w:rFonts w:cs="Times New Roman"/>
                <w:szCs w:val="24"/>
              </w:rPr>
              <w:t xml:space="preserve"> о </w:t>
            </w:r>
            <w:r>
              <w:rPr>
                <w:rFonts w:cs="Times New Roman"/>
                <w:szCs w:val="24"/>
              </w:rPr>
              <w:t xml:space="preserve">региональном </w:t>
            </w:r>
            <w:r>
              <w:rPr>
                <w:rFonts w:cs="Times New Roman"/>
                <w:szCs w:val="24"/>
              </w:rPr>
              <w:t xml:space="preserve">гос</w:t>
            </w:r>
            <w:r>
              <w:rPr>
                <w:rFonts w:cs="Times New Roman"/>
                <w:szCs w:val="24"/>
              </w:rPr>
              <w:t xml:space="preserve">ударственном контроле (надзоре)</w:t>
            </w:r>
            <w:r>
              <w:rPr>
                <w:rFonts w:cs="Times New Roman"/>
                <w:szCs w:val="24"/>
              </w:rPr>
              <w:t xml:space="preserve">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highlight w:val="none"/>
              </w:rPr>
            </w:pPr>
            <w:r>
              <w:rPr>
                <w:rFonts w:cs="Times New Roman"/>
                <w:szCs w:val="24"/>
              </w:rPr>
              <w:t xml:space="preserve">1</w:t>
            </w:r>
            <w:r>
              <w:rPr>
                <w:rFonts w:cs="Times New Roman"/>
                <w:szCs w:val="24"/>
              </w:rPr>
              <w:t xml:space="preserve">4</w:t>
            </w:r>
            <w:r>
              <w:rPr>
                <w:rFonts w:cs="Times New Roman"/>
                <w:szCs w:val="24"/>
              </w:rPr>
              <w:t xml:space="preserve">) информаци</w:t>
            </w:r>
            <w:r>
              <w:rPr>
                <w:rFonts w:cs="Times New Roman"/>
                <w:szCs w:val="24"/>
              </w:rPr>
              <w:t xml:space="preserve">и</w:t>
            </w:r>
            <w:r>
              <w:rPr>
                <w:rFonts w:cs="Times New Roman"/>
                <w:szCs w:val="24"/>
              </w:rPr>
              <w:t xml:space="preserve"> о 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 подготовке декларации соблюдения обязательных требований, и информаци</w:t>
            </w:r>
            <w:r>
              <w:rPr>
                <w:rFonts w:cs="Times New Roman"/>
                <w:szCs w:val="24"/>
              </w:rPr>
              <w:t xml:space="preserve">и</w:t>
            </w:r>
            <w:r>
              <w:rPr>
                <w:rFonts w:cs="Times New Roman"/>
                <w:szCs w:val="24"/>
              </w:rPr>
              <w:t xml:space="preserve"> о декларациях соблюдения обязательных требований, представленных контролируемыми лицами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u w:val="none"/>
              </w:rPr>
              <w:t xml:space="preserve">.</w:t>
            </w:r>
            <w:r>
              <w:rPr>
                <w:rFonts w:cs="Times New Roman"/>
                <w:highlight w:val="none"/>
              </w:rPr>
            </w:r>
          </w:p>
        </w:tc>
        <w:tc>
          <w:tcPr>
            <w:gridSpan w:val="2"/>
            <w:tcW w:w="3118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 течение 15 дней со дня принятия нормативных правовых актов, программ, перечней, руководств и иных сведений или внесения в них изменений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</w:t>
            </w:r>
            <w:r>
              <w:rPr>
                <w:rFonts w:cs="Times New Roman"/>
                <w:szCs w:val="24"/>
              </w:rPr>
              <w:t xml:space="preserve">по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</w:tc>
      </w:tr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Осуществление информирования поставщиков социальных услуг по вопросам соблюдения обязательных требований, а также в случае их изменения: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  <w:t xml:space="preserve">) проведение семинаров и конференций, «круглых столов»;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  <w:t xml:space="preserve">) подготовка информации в   средства  массовой информации;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</w:t>
            </w:r>
            <w:r>
              <w:rPr>
                <w:rFonts w:cs="Times New Roman"/>
                <w:szCs w:val="24"/>
              </w:rPr>
              <w:t xml:space="preserve">) подготовка и </w:t>
            </w:r>
            <w:r>
              <w:rPr>
                <w:rFonts w:cs="Times New Roman"/>
                <w:szCs w:val="24"/>
              </w:rPr>
              <w:t xml:space="preserve">размещение </w:t>
            </w:r>
            <w:r>
              <w:rPr>
                <w:rFonts w:cs="Times New Roman"/>
                <w:szCs w:val="24"/>
              </w:rPr>
              <w:t xml:space="preserve">комментариев о содержании новых нормативных правовых актов, устанавливающих обязательные требования,  внесенных изменениях в действующие акты, сроках и порядке вступления их в </w:t>
            </w:r>
            <w:r>
              <w:rPr>
                <w:rFonts w:cs="Times New Roman"/>
                <w:szCs w:val="24"/>
              </w:rPr>
              <w:t xml:space="preserve">силу </w:t>
            </w:r>
            <w:r>
              <w:rPr>
                <w:szCs w:val="24"/>
              </w:rPr>
              <w:t xml:space="preserve">на официальном сайте Департамента в информационно-телекоммуникационной сети «Интернет»</w:t>
            </w:r>
            <w:r>
              <w:rPr>
                <w:szCs w:val="24"/>
              </w:rPr>
              <w:t xml:space="preserve"> и</w:t>
            </w:r>
            <w:r>
              <w:rPr>
                <w:rFonts w:cs="Times New Roman"/>
                <w:szCs w:val="24"/>
              </w:rPr>
              <w:t xml:space="preserve"> через личные кабинеты контролируемых лиц в государственных информационных системах (при наличии).</w:t>
            </w:r>
            <w:r>
              <w:rPr>
                <w:rFonts w:cs="Times New Roman"/>
                <w:szCs w:val="24"/>
              </w:rPr>
            </w:r>
            <w:r/>
          </w:p>
        </w:tc>
        <w:tc>
          <w:tcPr>
            <w:gridSpan w:val="2"/>
            <w:tcW w:w="3118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 соответствии с графиком, утверждаемым приказом департамента</w:t>
            </w:r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</w:t>
            </w:r>
            <w:r>
              <w:rPr>
                <w:rFonts w:cs="Times New Roman"/>
                <w:szCs w:val="24"/>
              </w:rPr>
              <w:t xml:space="preserve">по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</w:tr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Подготовка разъяснений о применении нормативных правовых актов, устанавливающих обязательные требования</w:t>
            </w:r>
            <w:r>
              <w:rPr>
                <w:rFonts w:cs="Times New Roman"/>
                <w:szCs w:val="24"/>
              </w:rPr>
              <w:t xml:space="preserve">,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внесенных изменениях в действующие акты через личные кабинеты контролируемых лиц в государственных информационных системах (при наличии)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  <w:tc>
          <w:tcPr>
            <w:gridSpan w:val="2"/>
            <w:tcW w:w="3118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мере обращений </w:t>
            </w:r>
            <w:r>
              <w:rPr>
                <w:szCs w:val="24"/>
              </w:rPr>
              <w:t xml:space="preserve">контролируемых лиц</w:t>
            </w:r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</w:t>
            </w:r>
            <w:r>
              <w:rPr>
                <w:rFonts w:cs="Times New Roman"/>
                <w:szCs w:val="24"/>
              </w:rPr>
              <w:t xml:space="preserve">по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>
              <w:rPr>
                <w:rFonts w:cs="Times New Roman"/>
                <w:szCs w:val="24"/>
              </w:rPr>
            </w:r>
            <w:r/>
          </w:p>
        </w:tc>
      </w:tr>
      <w:tr>
        <w:trPr/>
        <w:tc>
          <w:tcPr>
            <w:gridSpan w:val="5"/>
            <w:tcW w:w="148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II</w:t>
            </w:r>
            <w:r>
              <w:rPr>
                <w:rFonts w:cs="Times New Roman"/>
                <w:szCs w:val="24"/>
              </w:rPr>
              <w:t xml:space="preserve">. Обобщение правоприменительной практики</w:t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Обобщение </w:t>
            </w:r>
            <w:r>
              <w:rPr>
                <w:szCs w:val="24"/>
              </w:rPr>
              <w:t xml:space="preserve">правоприменительной практики осуществляется ежегодно путем сбора и анализа данных о проведенных контрольных (надзорных) мероприятиях и их рез</w:t>
            </w:r>
            <w:r>
              <w:rPr>
                <w:szCs w:val="24"/>
              </w:rPr>
              <w:t xml:space="preserve">ультатов, а также поступивших обращений. По итогам обобщения правоприменительной практики осуществляется подготовка и размещение на официальном сайте департамента доклада, содержащего результаты обобщения правоприменительной практики по осуществлению регио</w:t>
            </w:r>
            <w:r>
              <w:rPr>
                <w:szCs w:val="24"/>
              </w:rPr>
              <w:t xml:space="preserve">нального государственного контроля (надзора), с указанием наиболее часто встречающихся случаев нарушений обязательных требований с рекомендациями в отношении мер, которые должны приниматься поставщиками социальных услуг в целях недопущения таких нарушений.</w:t>
            </w:r>
            <w:r>
              <w:rPr>
                <w:szCs w:val="24"/>
              </w:rPr>
            </w:r>
            <w:r/>
          </w:p>
        </w:tc>
        <w:tc>
          <w:tcPr>
            <w:tcW w:w="3117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Не позднее 15 марта года, следующего за </w:t>
            </w:r>
            <w:r>
              <w:rPr>
                <w:szCs w:val="24"/>
              </w:rPr>
              <w:t xml:space="preserve">отчетным</w:t>
            </w:r>
            <w:r/>
          </w:p>
        </w:tc>
        <w:tc>
          <w:tcPr>
            <w:gridSpan w:val="2"/>
            <w:tcW w:w="4963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</w:t>
            </w:r>
            <w:r>
              <w:rPr>
                <w:rFonts w:cs="Times New Roman"/>
                <w:szCs w:val="24"/>
              </w:rPr>
              <w:t xml:space="preserve"> по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</w:tr>
      <w:tr>
        <w:trPr/>
        <w:tc>
          <w:tcPr>
            <w:gridSpan w:val="5"/>
            <w:tcW w:w="148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III</w:t>
            </w:r>
            <w:r>
              <w:rPr>
                <w:rFonts w:cs="Times New Roman"/>
                <w:szCs w:val="24"/>
              </w:rPr>
              <w:t xml:space="preserve">. Объявление предостережения</w:t>
            </w:r>
            <w:r>
              <w:rPr>
                <w:rFonts w:cs="Times New Roman"/>
                <w:szCs w:val="24"/>
              </w:rPr>
              <w:t xml:space="preserve"> о недопустимости нарушения обязательных требований</w:t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Объявление предостережения о недопустимости нарушения обязательных требований поставщикам социальных услуг в случае наличия у департамента </w:t>
            </w:r>
            <w:r>
              <w:rPr>
                <w:szCs w:val="24"/>
              </w:rPr>
              <w:t xml:space="preserve">сведений о готовящихся нарушениях обязательных требований или признаках</w:t>
            </w:r>
            <w:r/>
          </w:p>
        </w:tc>
        <w:tc>
          <w:tcPr>
            <w:tcW w:w="3117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Не позднее 30 дней со дня получения сведений, </w:t>
            </w:r>
            <w:r>
              <w:rPr>
                <w:szCs w:val="24"/>
              </w:rPr>
              <w:t xml:space="preserve">указанных в части 1 статьи 49 Федерального закона от 31.07.2020 № 248-ФЗ «О государственном контроле (надзоре) и муниципальном контроле в Российской Федерации</w:t>
            </w:r>
            <w:r/>
          </w:p>
        </w:tc>
        <w:tc>
          <w:tcPr>
            <w:gridSpan w:val="2"/>
            <w:tcW w:w="4963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</w:t>
            </w:r>
            <w:r>
              <w:rPr>
                <w:rFonts w:cs="Times New Roman"/>
                <w:szCs w:val="24"/>
              </w:rPr>
              <w:t xml:space="preserve"> по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/>
          </w:p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</w:tr>
      <w:tr>
        <w:trPr>
          <w:trHeight w:val="387"/>
        </w:trPr>
        <w:tc>
          <w:tcPr>
            <w:gridSpan w:val="5"/>
            <w:tcW w:w="148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IV</w:t>
            </w:r>
            <w:r>
              <w:rPr>
                <w:rFonts w:cs="Times New Roman"/>
                <w:szCs w:val="24"/>
              </w:rPr>
              <w:t xml:space="preserve">. Консультирование</w:t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</w:r>
            <w:r/>
          </w:p>
        </w:tc>
      </w:tr>
      <w:tr>
        <w:trPr/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Консультирование контролируемых лиц осуществляется в письменной форме при их письменном обращении, в устной форме – по телефону, посредством видео-конференц-связи, на личном приеме либо в ходе осуществления контрол</w:t>
            </w:r>
            <w:r>
              <w:rPr>
                <w:szCs w:val="24"/>
              </w:rPr>
              <w:t xml:space="preserve">ьного (надзорного) мероприятия. Должностные лица департамента осуществляют консультирование по следующим вопросам:</w:t>
            </w:r>
            <w:r/>
          </w:p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1) профилактика</w:t>
            </w:r>
            <w:r>
              <w:rPr>
                <w:szCs w:val="24"/>
              </w:rPr>
              <w:t xml:space="preserve"> рисков нарушения обязательных требований;</w:t>
            </w:r>
            <w:r/>
          </w:p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2) соблюдение обязательных требований;</w:t>
            </w:r>
            <w:r/>
          </w:p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3) порядок осуществления регионального государственного контроля (надзора);</w:t>
            </w:r>
            <w:r/>
          </w:p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4) порядок обжалования решений департамента.</w:t>
            </w:r>
            <w:r/>
          </w:p>
          <w:p>
            <w:pPr>
              <w:jc w:val="both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В случае поступления 5 и более однотипных обращений контролируемых лиц и (или) их представителей, консультирование осуществляется посредством размещения на официальном сайте департамента в </w:t>
            </w:r>
            <w:r>
              <w:rPr>
                <w:szCs w:val="24"/>
              </w:rPr>
              <w:t xml:space="preserve">информационно-коммуникационной сети «Интернет» письменного разъяснения, подписанного уполномоченным должностным лицом департамента</w:t>
            </w:r>
            <w:r/>
          </w:p>
        </w:tc>
        <w:tc>
          <w:tcPr>
            <w:tcW w:w="3117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мере </w:t>
            </w:r>
            <w:r>
              <w:rPr>
                <w:szCs w:val="24"/>
              </w:rPr>
              <w:t xml:space="preserve">обращения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контролируемых лиц</w:t>
            </w:r>
            <w:r/>
          </w:p>
        </w:tc>
        <w:tc>
          <w:tcPr>
            <w:gridSpan w:val="2"/>
            <w:tcW w:w="4963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</w:t>
            </w:r>
            <w:r>
              <w:rPr>
                <w:rFonts w:cs="Times New Roman"/>
                <w:szCs w:val="24"/>
              </w:rPr>
              <w:t xml:space="preserve">по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госзаказа и отраслевых программ Департамента</w:t>
            </w:r>
            <w:r/>
          </w:p>
        </w:tc>
      </w:tr>
      <w:tr>
        <w:trPr>
          <w:trHeight w:val="410"/>
        </w:trPr>
        <w:tc>
          <w:tcPr>
            <w:gridSpan w:val="5"/>
            <w:tcW w:w="148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outlineLvl w:val="0"/>
            </w:pPr>
            <w:r>
              <w:rPr>
                <w:lang w:val="en-US"/>
              </w:rPr>
              <w:t xml:space="preserve">V</w:t>
            </w:r>
            <w:r>
              <w:rPr>
                <w:rFonts w:cs="Times New Roman"/>
                <w:szCs w:val="24"/>
              </w:rPr>
              <w:t xml:space="preserve">.</w:t>
            </w:r>
            <w:r>
              <w:rPr>
                <w:rFonts w:cs="Times New Roman"/>
                <w:bCs/>
                <w:szCs w:val="24"/>
              </w:rPr>
              <w:t xml:space="preserve"> Профилактический визит</w:t>
            </w:r>
            <w:r/>
          </w:p>
        </w:tc>
      </w:tr>
      <w:tr>
        <w:trPr>
          <w:trHeight w:val="1406"/>
        </w:trPr>
        <w:tc>
          <w:tcPr>
            <w:tcW w:w="732" w:type="dxa"/>
            <w:textDirection w:val="lrTb"/>
            <w:noWrap w:val="false"/>
          </w:tcPr>
          <w:p>
            <w:pPr>
              <w:pStyle w:val="841"/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1</w:t>
            </w:r>
            <w:r>
              <w:rPr>
                <w:szCs w:val="24"/>
              </w:rPr>
              <w:t xml:space="preserve">.</w:t>
            </w:r>
            <w:r/>
          </w:p>
        </w:tc>
        <w:tc>
          <w:tcPr>
            <w:tcW w:w="6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Профилактический визит проводится должностным лицом департамента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  <w:r/>
          </w:p>
          <w:p>
            <w:pPr>
              <w:jc w:val="both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</w:t>
            </w:r>
            <w:r>
              <w:rPr>
                <w:rFonts w:cs="Times New Roman"/>
                <w:szCs w:val="24"/>
              </w:rPr>
              <w:t xml:space="preserve"> его деятельности либо к принадлежащим ему объектам государственного контроля (надзора),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</w:t>
            </w:r>
            <w:r>
              <w:rPr>
                <w:rFonts w:cs="Times New Roman"/>
                <w:szCs w:val="24"/>
              </w:rPr>
              <w:t xml:space="preserve">, проводимых в отношении объекта государственного контроля (надзора) исходя из отнесения его к соответствующей категории риска.</w:t>
            </w:r>
            <w:r/>
          </w:p>
        </w:tc>
        <w:tc>
          <w:tcPr>
            <w:tcW w:w="3117" w:type="dxa"/>
            <w:textDirection w:val="lrTb"/>
            <w:noWrap w:val="false"/>
          </w:tcPr>
          <w:p>
            <w:pPr>
              <w:pStyle w:val="841"/>
              <w:jc w:val="both"/>
              <w:rPr>
                <w:highlight w:val="none"/>
              </w:rPr>
            </w:pPr>
            <w:r>
              <w:rPr>
                <w:szCs w:val="24"/>
              </w:rPr>
              <w:t xml:space="preserve">2 квартал (июнь)</w:t>
            </w:r>
            <w:r/>
          </w:p>
          <w:p>
            <w:pPr>
              <w:pStyle w:val="841"/>
              <w:jc w:val="both"/>
            </w:pPr>
            <w:r>
              <w:rPr>
                <w:szCs w:val="24"/>
                <w:highlight w:val="none"/>
              </w:rPr>
              <w:t xml:space="preserve">3 квартал (сентябрь)</w:t>
            </w:r>
            <w:r>
              <w:rPr>
                <w:szCs w:val="24"/>
                <w:highlight w:val="none"/>
              </w:rPr>
            </w:r>
          </w:p>
        </w:tc>
        <w:tc>
          <w:tcPr>
            <w:gridSpan w:val="2"/>
            <w:tcW w:w="4963" w:type="dxa"/>
            <w:textDirection w:val="lrTb"/>
            <w:noWrap w:val="false"/>
          </w:tcPr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социального обслуживания и взаимодействия с ветеранскими и общественными организациями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  <w:lang w:eastAsia="ru-RU"/>
              </w:rPr>
              <w:t xml:space="preserve">демографической и семейной политики, профилактики</w:t>
            </w:r>
            <w:bookmarkStart w:id="2" w:name="_GoBack"/>
            <w:r/>
            <w:bookmarkEnd w:id="2"/>
            <w:r>
              <w:rPr>
                <w:sz w:val="24"/>
                <w:lang w:eastAsia="ru-RU"/>
              </w:rPr>
              <w:t xml:space="preserve"> социального неблагополучия</w:t>
            </w:r>
            <w:r>
              <w:rPr>
                <w:sz w:val="24"/>
              </w:rPr>
              <w:t xml:space="preserve"> Департамента</w:t>
            </w:r>
            <w:r/>
          </w:p>
          <w:p>
            <w:pPr>
              <w:jc w:val="both"/>
              <w:spacing w:after="0" w:line="240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отдел по </w:t>
            </w:r>
            <w:r>
              <w:rPr>
                <w:szCs w:val="24"/>
                <w:lang w:eastAsia="ru-RU"/>
              </w:rPr>
              <w:t xml:space="preserve">реализации прав несовершеннолетних и недееспособных граждан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Департамента</w:t>
            </w:r>
            <w:r/>
          </w:p>
          <w:p>
            <w:pPr>
              <w:jc w:val="both"/>
              <w:spacing w:after="0" w:line="240" w:lineRule="auto"/>
              <w:tabs>
                <w:tab w:val="num" w:pos="0" w:leader="none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</w:r>
            <w:r/>
          </w:p>
          <w:p>
            <w:pPr>
              <w:pStyle w:val="837"/>
              <w:ind w:left="0"/>
              <w:jc w:val="both"/>
              <w:tabs>
                <w:tab w:val="num" w:pos="0" w:leader="none"/>
                <w:tab w:val="clear" w:pos="72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отдел госзаказа и отраслевых программ Департамента</w:t>
            </w:r>
            <w:r/>
          </w:p>
        </w:tc>
      </w:tr>
    </w:tbl>
    <w:p>
      <w:pPr>
        <w:pStyle w:val="842"/>
        <w:ind w:left="567" w:firstLine="708"/>
        <w:jc w:val="center"/>
        <w:rPr>
          <w:sz w:val="28"/>
          <w:szCs w:val="28"/>
        </w:rPr>
        <w:outlineLvl w:val="1"/>
      </w:pP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1134" w:right="1134" w:bottom="1418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837"/>
        <w:rPr>
          <w:rFonts w:cs="Mangal" w:eastAsiaTheme="minorHAnsi"/>
          <w:color w:val="auto"/>
          <w:sz w:val="24"/>
          <w:szCs w:val="21"/>
          <w:lang w:eastAsia="en-US"/>
        </w:rPr>
      </w:pPr>
      <w:r>
        <w:separator/>
      </w:r>
      <w:r/>
    </w:p>
  </w:endnote>
  <w:endnote w:type="continuationSeparator" w:id="0">
    <w:p>
      <w:pPr>
        <w:pStyle w:val="837"/>
        <w:rPr>
          <w:rFonts w:cs="Mangal" w:eastAsiaTheme="minorHAnsi"/>
          <w:color w:val="auto"/>
          <w:sz w:val="24"/>
          <w:szCs w:val="21"/>
          <w:lang w:eastAsia="en-US"/>
        </w:rPr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AG_Souvenir">
    <w:panose1 w:val="05000600020000020004"/>
  </w:font>
  <w:font w:name="Tahoma">
    <w:panose1 w:val="020B0604030504040204"/>
  </w:font>
  <w:font w:name="Arial">
    <w:panose1 w:val="020B0604020202020204"/>
  </w:font>
  <w:font w:name="Mangal">
    <w:panose1 w:val="02040503050406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837"/>
        <w:rPr>
          <w:rFonts w:cs="Mangal" w:eastAsiaTheme="minorHAnsi"/>
          <w:color w:val="auto"/>
          <w:sz w:val="24"/>
          <w:szCs w:val="21"/>
          <w:lang w:eastAsia="en-US"/>
        </w:rPr>
      </w:pPr>
      <w:r>
        <w:separator/>
      </w:r>
      <w:r/>
    </w:p>
  </w:footnote>
  <w:footnote w:type="continuationSeparator" w:id="0">
    <w:p>
      <w:pPr>
        <w:pStyle w:val="837"/>
        <w:rPr>
          <w:rFonts w:cs="Mangal" w:eastAsiaTheme="minorHAnsi"/>
          <w:color w:val="auto"/>
          <w:sz w:val="24"/>
          <w:szCs w:val="21"/>
          <w:lang w:eastAsia="en-US"/>
        </w:rPr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7287626"/>
      <w:docPartObj>
        <w:docPartGallery w:val="Page Numbers (Top of Page)"/>
        <w:docPartUnique w:val="true"/>
      </w:docPartObj>
      <w:rPr/>
    </w:sdtPr>
    <w:sdtContent>
      <w:p>
        <w:pPr>
          <w:pStyle w:val="85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tab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Mangal" w:eastAsiaTheme="minorHAnsi"/>
        <w:sz w:val="24"/>
        <w:szCs w:val="21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5"/>
    <w:next w:val="835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character" w:styleId="666">
    <w:name w:val="Heading 2 Char"/>
    <w:basedOn w:val="838"/>
    <w:link w:val="836"/>
    <w:uiPriority w:val="9"/>
    <w:rPr>
      <w:rFonts w:ascii="Arial" w:hAnsi="Arial" w:eastAsia="Arial" w:cs="Arial"/>
      <w:sz w:val="34"/>
    </w:rPr>
  </w:style>
  <w:style w:type="character" w:styleId="667">
    <w:name w:val="Heading 3 Char"/>
    <w:basedOn w:val="838"/>
    <w:link w:val="837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8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8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8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8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5"/>
    <w:next w:val="835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8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35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character" w:styleId="682">
    <w:name w:val="Title Char"/>
    <w:basedOn w:val="838"/>
    <w:link w:val="857"/>
    <w:uiPriority w:val="10"/>
    <w:rPr>
      <w:sz w:val="48"/>
      <w:szCs w:val="48"/>
    </w:rPr>
  </w:style>
  <w:style w:type="paragraph" w:styleId="683">
    <w:name w:val="Subtitle"/>
    <w:basedOn w:val="835"/>
    <w:next w:val="835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8"/>
    <w:link w:val="683"/>
    <w:uiPriority w:val="11"/>
    <w:rPr>
      <w:sz w:val="24"/>
      <w:szCs w:val="24"/>
    </w:rPr>
  </w:style>
  <w:style w:type="paragraph" w:styleId="685">
    <w:name w:val="Quote"/>
    <w:basedOn w:val="835"/>
    <w:next w:val="835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5"/>
    <w:next w:val="835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character" w:styleId="689">
    <w:name w:val="Header Char"/>
    <w:basedOn w:val="838"/>
    <w:link w:val="850"/>
    <w:uiPriority w:val="99"/>
  </w:style>
  <w:style w:type="character" w:styleId="690">
    <w:name w:val="Footer Char"/>
    <w:basedOn w:val="838"/>
    <w:link w:val="852"/>
    <w:uiPriority w:val="99"/>
  </w:style>
  <w:style w:type="paragraph" w:styleId="691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852"/>
    <w:uiPriority w:val="99"/>
  </w:style>
  <w:style w:type="table" w:styleId="693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8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8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paragraph" w:styleId="836">
    <w:name w:val="Heading 2"/>
    <w:basedOn w:val="835"/>
    <w:next w:val="835"/>
    <w:link w:val="861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37">
    <w:name w:val="Heading 3"/>
    <w:basedOn w:val="835"/>
    <w:next w:val="835"/>
    <w:link w:val="849"/>
    <w:qFormat/>
    <w:pPr>
      <w:ind w:left="6372"/>
      <w:keepNext/>
      <w:spacing w:after="0" w:line="240" w:lineRule="auto"/>
      <w:tabs>
        <w:tab w:val="num" w:pos="720" w:leader="none"/>
      </w:tabs>
      <w:outlineLvl w:val="2"/>
    </w:pPr>
    <w:rPr>
      <w:rFonts w:eastAsia="Times New Roman" w:cs="Times New Roman"/>
      <w:color w:val="000000"/>
      <w:sz w:val="28"/>
      <w:szCs w:val="24"/>
      <w:lang w:eastAsia="ar-SA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 w:customStyle="1">
    <w:name w:val="ConsPlusNormal"/>
    <w:pPr>
      <w:spacing w:after="0" w:line="240" w:lineRule="auto"/>
      <w:widowControl w:val="off"/>
    </w:pPr>
    <w:rPr>
      <w:rFonts w:eastAsia="Times New Roman" w:cs="Times New Roman"/>
      <w:szCs w:val="20"/>
      <w:lang w:eastAsia="ru-RU"/>
    </w:rPr>
  </w:style>
  <w:style w:type="paragraph" w:styleId="842" w:customStyle="1">
    <w:name w:val="ConsPlusTitle"/>
    <w:pPr>
      <w:spacing w:after="0" w:line="240" w:lineRule="auto"/>
      <w:widowControl w:val="off"/>
    </w:pPr>
    <w:rPr>
      <w:rFonts w:eastAsia="Times New Roman" w:cs="Times New Roman"/>
      <w:b/>
      <w:szCs w:val="20"/>
      <w:lang w:eastAsia="ru-RU"/>
    </w:rPr>
  </w:style>
  <w:style w:type="paragraph" w:styleId="843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44">
    <w:name w:val="Body Text Indent"/>
    <w:basedOn w:val="835"/>
    <w:link w:val="845"/>
    <w:semiHidden/>
    <w:pPr>
      <w:ind w:left="283"/>
      <w:spacing w:after="120" w:line="240" w:lineRule="auto"/>
    </w:pPr>
    <w:rPr>
      <w:rFonts w:ascii="Arial" w:hAnsi="Arial" w:eastAsia="Lucida Sans Unicode"/>
      <w:szCs w:val="24"/>
      <w:lang w:eastAsia="hi-IN" w:bidi="hi-IN"/>
    </w:rPr>
  </w:style>
  <w:style w:type="character" w:styleId="845" w:customStyle="1">
    <w:name w:val="Основной текст с отступом Знак"/>
    <w:basedOn w:val="838"/>
    <w:link w:val="844"/>
    <w:semiHidden/>
    <w:rPr>
      <w:rFonts w:ascii="Arial" w:hAnsi="Arial" w:eastAsia="Lucida Sans Unicode"/>
      <w:szCs w:val="24"/>
      <w:lang w:eastAsia="hi-IN" w:bidi="hi-IN"/>
    </w:rPr>
  </w:style>
  <w:style w:type="character" w:styleId="846">
    <w:name w:val="Hyperlink"/>
    <w:basedOn w:val="838"/>
    <w:uiPriority w:val="99"/>
    <w:semiHidden/>
    <w:unhideWhenUsed/>
    <w:rPr>
      <w:color w:val="000080"/>
      <w:u w:val="single"/>
    </w:rPr>
  </w:style>
  <w:style w:type="paragraph" w:styleId="847">
    <w:name w:val="Body Text"/>
    <w:basedOn w:val="835"/>
    <w:link w:val="848"/>
    <w:uiPriority w:val="99"/>
    <w:unhideWhenUsed/>
    <w:pPr>
      <w:spacing w:after="120"/>
    </w:pPr>
  </w:style>
  <w:style w:type="character" w:styleId="848" w:customStyle="1">
    <w:name w:val="Основной текст Знак"/>
    <w:basedOn w:val="838"/>
    <w:link w:val="847"/>
    <w:uiPriority w:val="99"/>
  </w:style>
  <w:style w:type="character" w:styleId="849" w:customStyle="1">
    <w:name w:val="Заголовок 3 Знак"/>
    <w:basedOn w:val="838"/>
    <w:link w:val="837"/>
    <w:rPr>
      <w:rFonts w:eastAsia="Times New Roman" w:cs="Times New Roman"/>
      <w:color w:val="000000"/>
      <w:sz w:val="28"/>
      <w:szCs w:val="24"/>
      <w:lang w:eastAsia="ar-SA"/>
    </w:rPr>
  </w:style>
  <w:style w:type="paragraph" w:styleId="850">
    <w:name w:val="Header"/>
    <w:basedOn w:val="835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38"/>
    <w:link w:val="850"/>
    <w:uiPriority w:val="99"/>
  </w:style>
  <w:style w:type="paragraph" w:styleId="852">
    <w:name w:val="Footer"/>
    <w:basedOn w:val="835"/>
    <w:link w:val="853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38"/>
    <w:link w:val="852"/>
    <w:uiPriority w:val="99"/>
    <w:semiHidden/>
  </w:style>
  <w:style w:type="character" w:styleId="854" w:customStyle="1">
    <w:name w:val="Основной шрифт абзаца1"/>
  </w:style>
  <w:style w:type="character" w:styleId="855">
    <w:name w:val="Strong"/>
    <w:basedOn w:val="854"/>
    <w:qFormat/>
    <w:rPr>
      <w:b/>
      <w:bCs/>
    </w:rPr>
  </w:style>
  <w:style w:type="table" w:styleId="856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7">
    <w:name w:val="Title"/>
    <w:basedOn w:val="835"/>
    <w:next w:val="835"/>
    <w:link w:val="858"/>
    <w:qFormat/>
    <w:pPr>
      <w:jc w:val="center"/>
      <w:spacing w:after="0" w:line="240" w:lineRule="auto"/>
    </w:pPr>
    <w:rPr>
      <w:rFonts w:ascii="AG_Souvenir" w:hAnsi="AG_Souvenir" w:eastAsia="Times New Roman" w:cs="Times New Roman"/>
      <w:b/>
      <w:bCs/>
      <w:color w:val="0000ff"/>
      <w:sz w:val="32"/>
      <w:szCs w:val="24"/>
      <w:lang w:eastAsia="ar-SA"/>
    </w:rPr>
  </w:style>
  <w:style w:type="character" w:styleId="858" w:customStyle="1">
    <w:name w:val="Название Знак"/>
    <w:basedOn w:val="838"/>
    <w:link w:val="857"/>
    <w:rPr>
      <w:rFonts w:ascii="AG_Souvenir" w:hAnsi="AG_Souvenir" w:eastAsia="Times New Roman" w:cs="Times New Roman"/>
      <w:b/>
      <w:bCs/>
      <w:color w:val="0000ff"/>
      <w:sz w:val="32"/>
      <w:szCs w:val="24"/>
      <w:lang w:eastAsia="ar-SA"/>
    </w:rPr>
  </w:style>
  <w:style w:type="paragraph" w:styleId="859">
    <w:name w:val="Balloon Text"/>
    <w:basedOn w:val="835"/>
    <w:link w:val="86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basedOn w:val="838"/>
    <w:link w:val="859"/>
    <w:uiPriority w:val="99"/>
    <w:semiHidden/>
    <w:rPr>
      <w:rFonts w:ascii="Tahoma" w:hAnsi="Tahoma" w:cs="Tahoma"/>
      <w:sz w:val="16"/>
      <w:szCs w:val="16"/>
    </w:rPr>
  </w:style>
  <w:style w:type="character" w:styleId="861" w:customStyle="1">
    <w:name w:val="Заголовок 2 Знак"/>
    <w:basedOn w:val="838"/>
    <w:link w:val="836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62" w:customStyle="1">
    <w:name w:val="Body Text 2"/>
    <w:basedOn w:val="835"/>
    <w:pPr>
      <w:jc w:val="both"/>
      <w:spacing w:after="0" w:line="240" w:lineRule="auto"/>
    </w:pPr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130585CC7409E0445587BDEA668489B88EA8253E1B0EA0C49396DB424402A5FC2E4AF2E52069CF7772086357BEOBt4N" TargetMode="External"/><Relationship Id="rId12" Type="http://schemas.openxmlformats.org/officeDocument/2006/relationships/hyperlink" Target="consultantplus://offline/ref=130585CC7409E0445587BDEA668489B88FA120361108A0C49396DB424402A5FC3C4AAAE9226AD0777A1D3506F8E0A9F853D4C1D44DEFA29FOAt4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E8310-BD03-4D57-A6BF-FF2C61AB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baliberdina_ov</dc:creator>
  <cp:revision>5</cp:revision>
  <dcterms:created xsi:type="dcterms:W3CDTF">2023-09-26T08:13:00Z</dcterms:created>
  <dcterms:modified xsi:type="dcterms:W3CDTF">2023-09-29T11:45:34Z</dcterms:modified>
</cp:coreProperties>
</file>